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after="120" w:line="240" w:lineRule="auto"/>
        <w:ind w:left="284" w:right="902"/>
        <w:rPr>
          <w:rFonts w:ascii="Calibri Light" w:hAnsi="Calibri Light" w:cs="Calibri Light"/>
        </w:rPr>
      </w:pPr>
      <w:r>
        <w:rPr>
          <w:rFonts w:ascii="Calibri Light" w:hAnsi="Calibri Light" w:cs="Calibri Light"/>
        </w:rPr>
        <w:t>Name: Nina Serdar</w:t>
      </w:r>
    </w:p>
    <w:p>
      <w:pPr>
        <w:spacing w:after="120" w:line="240" w:lineRule="auto"/>
        <w:ind w:left="284" w:right="902"/>
        <w:rPr>
          <w:rFonts w:ascii="Calibri Light" w:hAnsi="Calibri Light" w:cs="Calibri Light"/>
        </w:rPr>
      </w:pPr>
      <w:r>
        <w:rPr>
          <w:rFonts w:ascii="Calibri Light" w:hAnsi="Calibri Light" w:cs="Calibri Light"/>
        </w:rPr>
        <w:t>E-mail: ninas@ucg.ac.me</w:t>
      </w:r>
    </w:p>
    <w:p>
      <w:pPr>
        <w:spacing w:after="120" w:line="240" w:lineRule="auto"/>
        <w:ind w:left="284" w:right="902"/>
        <w:rPr>
          <w:rFonts w:ascii="Calibri Light" w:hAnsi="Calibri Light" w:cs="Calibri Light"/>
        </w:rPr>
      </w:pPr>
      <w:r>
        <w:rPr>
          <w:rFonts w:ascii="Calibri Light" w:hAnsi="Calibri Light" w:cs="Calibri Light"/>
        </w:rPr>
        <w:t xml:space="preserve">Institution: University of Montenegro, Faculty of Civil Engineering </w:t>
      </w:r>
    </w:p>
    <w:tbl>
      <w:tblPr>
        <w:tblStyle w:val="12"/>
        <w:tblW w:w="1091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5" w:type="dxa"/>
          </w:tcPr>
          <w:p>
            <w:pPr>
              <w:spacing w:after="0" w:line="240" w:lineRule="auto"/>
            </w:pPr>
            <w:r>
              <w:drawing>
                <wp:inline distT="0" distB="0" distL="0" distR="0">
                  <wp:extent cx="1437640" cy="1799590"/>
                  <wp:effectExtent l="0" t="0" r="0" b="0"/>
                  <wp:docPr id="2" name="Picture 2" descr="C:\Users\User\Desktop\foto portret Ni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foto portret Nina.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38200" cy="1800000"/>
                          </a:xfrm>
                          <a:prstGeom prst="rect">
                            <a:avLst/>
                          </a:prstGeom>
                          <a:noFill/>
                          <a:ln>
                            <a:noFill/>
                          </a:ln>
                        </pic:spPr>
                      </pic:pic>
                    </a:graphicData>
                  </a:graphic>
                </wp:inline>
              </w:drawing>
            </w:r>
          </w:p>
        </w:tc>
        <w:tc>
          <w:tcPr>
            <w:tcW w:w="7371" w:type="dxa"/>
          </w:tcPr>
          <w:p>
            <w:pPr>
              <w:spacing w:after="0" w:line="240" w:lineRule="auto"/>
              <w:jc w:val="both"/>
            </w:pPr>
            <w:r>
              <w:rPr>
                <w:b/>
                <w:bCs/>
              </w:rPr>
              <w:t>Nina Serdar</w:t>
            </w:r>
            <w:r>
              <w:rPr>
                <w:bCs/>
              </w:rPr>
              <w:t>, PhD</w:t>
            </w:r>
            <w:r>
              <w:t>, Assistant Professor at the University of Montenegro (Faculty of Civil Engineering), has research experience in earthquake engineering of concrete structures, probabilistic seismic analysis and seismic risk analysis. She is the author of more than 30 papers in the field of research presented on international conferences and 17 papers published in international journals indexed in SCOPUS data base. Sh</w:t>
            </w:r>
            <w:r>
              <w:rPr>
                <w:lang w:eastAsia="sr-Cyrl-CS"/>
              </w:rPr>
              <w:t xml:space="preserve">e took part in three international scientific projects founded by European Commission (BORIS, National Disaster Risk Assessment and Assessment of Risk management Ability), two bilateral scientific cooperation projects (between Montenegro and Italy and Montenegro and People’s Republic of China) </w:t>
            </w:r>
            <w:r>
              <w:t>and three scientific projects financed by the national Ministries of Science, in one of which she was a project leader. Currently she is a member of European advisory group on science and technology group (E-STAG</w:t>
            </w:r>
            <w:r>
              <w:rPr>
                <w:rFonts w:hint="eastAsia" w:ascii="MS Gothic" w:hAnsi="MS Gothic" w:eastAsia="MS Gothic" w:cs="MS Gothi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6" w:type="dxa"/>
            <w:gridSpan w:val="2"/>
          </w:tcPr>
          <w:p>
            <w:pPr>
              <w:spacing w:after="120" w:line="360" w:lineRule="auto"/>
              <w:ind w:right="902"/>
            </w:pPr>
            <w:r>
              <w:t>References (max. 5 relevant references)</w:t>
            </w:r>
          </w:p>
          <w:p>
            <w:pPr>
              <w:pStyle w:val="21"/>
              <w:numPr>
                <w:ilvl w:val="0"/>
                <w:numId w:val="1"/>
              </w:numPr>
              <w:spacing w:after="0" w:line="240" w:lineRule="auto"/>
              <w:jc w:val="both"/>
            </w:pPr>
            <w:r>
              <w:t xml:space="preserve">Pejović, J., </w:t>
            </w:r>
            <w:r>
              <w:rPr>
                <w:b/>
              </w:rPr>
              <w:t>Serdar, N</w:t>
            </w:r>
            <w:r>
              <w:t>., &amp; Pejović, R. (2022). Damage Assessment of Road Bridges Caused by Extreme Streamflow in Montenegro: Reconstruction and Structural Upgrading. Buildings, 12(6), 810</w:t>
            </w:r>
          </w:p>
          <w:p>
            <w:pPr>
              <w:pStyle w:val="21"/>
              <w:numPr>
                <w:ilvl w:val="0"/>
                <w:numId w:val="1"/>
              </w:numPr>
            </w:pPr>
            <w:r>
              <w:t xml:space="preserve">Pejovic, J., &amp; </w:t>
            </w:r>
            <w:r>
              <w:rPr>
                <w:b/>
              </w:rPr>
              <w:t xml:space="preserve">Serdar, N. </w:t>
            </w:r>
            <w:r>
              <w:t xml:space="preserve"> (2021). Estimation of inter-story drifts at onset of damage states for RC high-rise buildings. Earthquakes and Structures, 21(1), 63-78.</w:t>
            </w:r>
          </w:p>
          <w:p>
            <w:pPr>
              <w:pStyle w:val="21"/>
              <w:numPr>
                <w:ilvl w:val="0"/>
                <w:numId w:val="1"/>
              </w:numPr>
            </w:pPr>
            <w:r>
              <w:rPr>
                <w:b/>
              </w:rPr>
              <w:t>Serdar N.,</w:t>
            </w:r>
            <w:r>
              <w:t xml:space="preserve"> Folić R.(2018):  Vulnerability and optimal probabilistic seismic demand model for curved and skewed RC bridges,  Engineering Structures,  Volume 176C,  pages411-425  doi: 10.1016/j.engstruct.2018.09.020 </w:t>
            </w:r>
          </w:p>
          <w:p>
            <w:pPr>
              <w:pStyle w:val="21"/>
              <w:numPr>
                <w:ilvl w:val="0"/>
                <w:numId w:val="1"/>
              </w:numPr>
            </w:pPr>
            <w:r>
              <w:rPr>
                <w:b/>
              </w:rPr>
              <w:t>Serdar, N.,</w:t>
            </w:r>
            <w:r>
              <w:t xml:space="preserve"> Ulićević, M., Janković, S. (2017):  Influence of horizontal curvature radius and bent skew angle on seismic response of RC bridges. Gradevinar, 69(02.). doi:10.14256/JCE.1508.2015</w:t>
            </w:r>
          </w:p>
          <w:p>
            <w:pPr>
              <w:pStyle w:val="21"/>
              <w:numPr>
                <w:ilvl w:val="0"/>
                <w:numId w:val="1"/>
              </w:numPr>
            </w:pPr>
            <w:bookmarkStart w:id="0" w:name="_GoBack"/>
            <w:r>
              <w:rPr>
                <w:b/>
                <w:bCs/>
              </w:rPr>
              <w:t xml:space="preserve">Serdar </w:t>
            </w:r>
            <w:bookmarkEnd w:id="0"/>
            <w:r>
              <w:t>N., Pejovic  J.(2022): The applied methodology for national seismic risk assessment: uncertainties and open questions, 3rd European conference on earthquake engineering &amp; seismology Bucharest, Romania, 2022, ISBN 978-973-100-533-1</w:t>
            </w:r>
          </w:p>
          <w:p>
            <w:pPr>
              <w:pStyle w:val="21"/>
            </w:pPr>
          </w:p>
          <w:p>
            <w:pPr>
              <w:pStyle w:val="21"/>
              <w:spacing w:after="0" w:line="240" w:lineRule="auto"/>
              <w:jc w:val="both"/>
            </w:pPr>
          </w:p>
          <w:p>
            <w:pPr>
              <w:spacing w:after="0" w:line="240" w:lineRule="auto"/>
              <w:ind w:left="720" w:hanging="720"/>
              <w:jc w:val="both"/>
            </w:pPr>
          </w:p>
          <w:p>
            <w:pPr>
              <w:spacing w:after="0" w:line="240" w:lineRule="auto"/>
              <w:ind w:left="720" w:hanging="720"/>
              <w:jc w:val="both"/>
            </w:pPr>
          </w:p>
        </w:tc>
      </w:tr>
    </w:tbl>
    <w:p/>
    <w:p/>
    <w:p>
      <w:pPr>
        <w:rPr>
          <w:rFonts w:ascii="Calibri Light" w:hAnsi="Calibri Light" w:cs="Calibri Light"/>
        </w:rPr>
      </w:pPr>
    </w:p>
    <w:sectPr>
      <w:headerReference r:id="rId5" w:type="default"/>
      <w:footerReference r:id="rId6" w:type="default"/>
      <w:pgSz w:w="11907" w:h="16839"/>
      <w:pgMar w:top="1440" w:right="1440" w:bottom="1440" w:left="1440" w:header="720" w:footer="72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110989"/>
      <w:docPartObj>
        <w:docPartGallery w:val="autotext"/>
      </w:docPartObj>
    </w:sdtPr>
    <w:sdtContent>
      <w:p>
        <w:pPr>
          <w:pStyle w:val="8"/>
        </w:pPr>
        <w:r>
          <mc:AlternateContent>
            <mc:Choice Requires="wps">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467995" cy="467995"/>
                  <wp:effectExtent l="9525" t="9525" r="8255" b="8255"/>
                  <wp:wrapNone/>
                  <wp:docPr id="1" name="Oval 18"/>
                  <wp:cNvGraphicFramePr/>
                  <a:graphic xmlns:a="http://schemas.openxmlformats.org/drawingml/2006/main">
                    <a:graphicData uri="http://schemas.microsoft.com/office/word/2010/wordprocessingShape">
                      <wps:wsp>
                        <wps:cNvSpPr>
                          <a:spLocks noChangeArrowheads="1"/>
                        </wps:cNvSpPr>
                        <wps:spPr bwMode="auto">
                          <a:xfrm rot="10800000" flipH="1">
                            <a:off x="0" y="0"/>
                            <a:ext cx="467995" cy="467995"/>
                          </a:xfrm>
                          <a:prstGeom prst="ellipse">
                            <a:avLst/>
                          </a:prstGeom>
                          <a:noFill/>
                          <a:ln w="12700">
                            <a:solidFill>
                              <a:srgbClr val="9CC2E5"/>
                            </a:solidFill>
                            <a:round/>
                          </a:ln>
                        </wps:spPr>
                        <wps:txbx>
                          <w:txbxContent>
                            <w:p>
                              <w:pPr>
                                <w:pStyle w:val="8"/>
                                <w:rPr>
                                  <w:rFonts w:asciiTheme="majorHAnsi" w:hAnsiTheme="majorHAnsi" w:cstheme="majorHAnsi"/>
                                  <w:color w:val="2E75B6" w:themeColor="accent1" w:themeShade="BF"/>
                                </w:rPr>
                              </w:pPr>
                              <w:r>
                                <w:rPr>
                                  <w:rFonts w:asciiTheme="majorHAnsi" w:hAnsiTheme="majorHAnsi" w:cstheme="majorHAnsi"/>
                                  <w:color w:val="2E75B6" w:themeColor="accent1" w:themeShade="BF"/>
                                </w:rPr>
                                <w:fldChar w:fldCharType="begin"/>
                              </w:r>
                              <w:r>
                                <w:rPr>
                                  <w:rFonts w:asciiTheme="majorHAnsi" w:hAnsiTheme="majorHAnsi" w:cstheme="majorHAnsi"/>
                                  <w:color w:val="2E75B6" w:themeColor="accent1" w:themeShade="BF"/>
                                </w:rPr>
                                <w:instrText xml:space="preserve"> PAGE  \* MERGEFORMAT </w:instrText>
                              </w:r>
                              <w:r>
                                <w:rPr>
                                  <w:rFonts w:asciiTheme="majorHAnsi" w:hAnsiTheme="majorHAnsi" w:cstheme="majorHAnsi"/>
                                  <w:color w:val="2E75B6" w:themeColor="accent1" w:themeShade="BF"/>
                                </w:rPr>
                                <w:fldChar w:fldCharType="separate"/>
                              </w:r>
                              <w:r>
                                <w:rPr>
                                  <w:rFonts w:asciiTheme="majorHAnsi" w:hAnsiTheme="majorHAnsi" w:cstheme="majorHAnsi"/>
                                  <w:color w:val="2E75B6" w:themeColor="accent1" w:themeShade="BF"/>
                                </w:rPr>
                                <w:t>1</w:t>
                              </w:r>
                              <w:r>
                                <w:rPr>
                                  <w:rFonts w:asciiTheme="majorHAnsi" w:hAnsiTheme="majorHAnsi" w:cstheme="majorHAnsi"/>
                                  <w:color w:val="2E75B6" w:themeColor="accent1" w:themeShade="BF"/>
                                </w:rPr>
                                <w:fldChar w:fldCharType="end"/>
                              </w:r>
                            </w:p>
                          </w:txbxContent>
                        </wps:txbx>
                        <wps:bodyPr rot="0" vert="horz" wrap="square" lIns="91440" tIns="0" rIns="91440" bIns="0" anchor="ctr" anchorCtr="0" upright="1">
                          <a:noAutofit/>
                        </wps:bodyPr>
                      </wps:wsp>
                    </a:graphicData>
                  </a:graphic>
                </wp:anchor>
              </w:drawing>
            </mc:Choice>
            <mc:Fallback>
              <w:pict>
                <v:shape id="Oval 18" o:spid="_x0000_s1026" o:spt="3" type="#_x0000_t3" style="position:absolute;left:0pt;flip:x;margin-left:0pt;margin-top:0pt;height:36.85pt;width:36.85pt;mso-position-horizontal-relative:page;mso-position-vertical-relative:page;rotation:11796480f;z-index:251661312;v-text-anchor:middle;mso-width-relative:page;mso-height-relative:page;" filled="f" stroked="t" coordsize="21600,21600" o:gfxdata="UEsDBAoAAAAAAIdO4kAAAAAAAAAAAAAAAAAEAAAAZHJzL1BLAwQUAAAACACHTuJAb+VAGNQAAAAD&#10;AQAADwAAAGRycy9kb3ducmV2LnhtbE2PQU/DMAyF70j8h8hIXCaWdiAGpekETOMGEgUBR68xbaFx&#10;SpNt5d9j4AAXP1nPeu9zvhhdp7Y0hNazgXSagCKuvG25NvD4sDo6AxUissXOMxn4pACLYn8vx8z6&#10;Hd/Ttoy1khAOGRpoYuwzrUPVkMMw9T2xeK9+cBhlHWptB9xJuOv0LElOtcOWpaHBnq4bqt7LjTPw&#10;PF6Wk5Obl+XV7Xn59jFZPd2ly5kxhwdpcgEq0hj/juEbX9ChEKa137ANqjMgj8SfKd78eA5q/au6&#10;yPV/9uILUEsDBBQAAAAIAIdO4kA4A8g0MAIAAFkEAAAOAAAAZHJzL2Uyb0RvYy54bWytlM1u2zAM&#10;x+8D9g6C7oudIP2IEacoknUb0K0Fuj2AIsu2MFnUKCV29vSj5DTtsksP88EQKepP8ifay5uhM2yv&#10;0GuwJZ9Ocs6UlVBp25T8x/e7D9ec+SBsJQxYVfKD8vxm9f7dsneFmkELplLISMT6onclb0NwRZZ5&#10;2apO+Ak4ZWmzBuxEIBObrELRk3pnslmeX2Y9YOUQpPKevJtxkx8V8S2CUNdaqg3IXadsGFVRGRGo&#10;Jd9q5/kqVVvXSoaHuvYqMFNy6jSkNyWh9Ta+s9VSFA0K12p5LEG8pYSznjqhLSU9SW1EEGyH+h+p&#10;TksED3WYSOiysZFEhLqY5mdsnlrhVOqFUHt3gu7/n6z8tn9EpiuaBM6s6OjCH/bCsOl1RNM7X1DE&#10;k3vE2Jx39yB/emZh3QrbqFtE6FslKipoGuOzvw5Ew9NRtu2/QkXKYhcgURpq7BgC3cY0v87jw1lt&#10;tPscdWImAsOGdEuH0y2pITBJzvnl1WJxwZmkreM6phZFVI2HHfrwSUHH4qLkypCyjxxFIfb3PozR&#10;z1HRbeFOG0N+URjLeqpidkU1RduD0VXcTQY227VBRoRKvlivZx8vUttnYQg7W41ZjD1SiSBGoGHY&#10;DrQZ6WyhOhCfRIIQ0FdJ9baAvznraSZL7n/tBCrOzBdLjBfT+TwOcTJoga+922evsJIkSi4DcjYa&#10;6zCO/M6hbtqIPfVm4ZZupNaJyEs9x4pp4hLW49cRR/q1naJe/gi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lQBjUAAAAAwEAAA8AAAAAAAAAAQAgAAAAIgAAAGRycy9kb3ducmV2LnhtbFBLAQIU&#10;ABQAAAAIAIdO4kA4A8g0MAIAAFkEAAAOAAAAAAAAAAEAIAAAACMBAABkcnMvZTJvRG9jLnhtbFBL&#10;BQYAAAAABgAGAFkBAADFBQAAAAA=&#10;">
                  <v:fill on="f" focussize="0,0"/>
                  <v:stroke weight="1pt" color="#9CC2E5" joinstyle="round"/>
                  <v:imagedata o:title=""/>
                  <o:lock v:ext="edit" aspectratio="f"/>
                  <v:textbox inset="2.54mm,0mm,2.54mm,0mm">
                    <w:txbxContent>
                      <w:p>
                        <w:pPr>
                          <w:pStyle w:val="8"/>
                          <w:rPr>
                            <w:rFonts w:asciiTheme="majorHAnsi" w:hAnsiTheme="majorHAnsi" w:cstheme="majorHAnsi"/>
                            <w:color w:val="2E75B6" w:themeColor="accent1" w:themeShade="BF"/>
                          </w:rPr>
                        </w:pPr>
                        <w:r>
                          <w:rPr>
                            <w:rFonts w:asciiTheme="majorHAnsi" w:hAnsiTheme="majorHAnsi" w:cstheme="majorHAnsi"/>
                            <w:color w:val="2E75B6" w:themeColor="accent1" w:themeShade="BF"/>
                          </w:rPr>
                          <w:fldChar w:fldCharType="begin"/>
                        </w:r>
                        <w:r>
                          <w:rPr>
                            <w:rFonts w:asciiTheme="majorHAnsi" w:hAnsiTheme="majorHAnsi" w:cstheme="majorHAnsi"/>
                            <w:color w:val="2E75B6" w:themeColor="accent1" w:themeShade="BF"/>
                          </w:rPr>
                          <w:instrText xml:space="preserve"> PAGE  \* MERGEFORMAT </w:instrText>
                        </w:r>
                        <w:r>
                          <w:rPr>
                            <w:rFonts w:asciiTheme="majorHAnsi" w:hAnsiTheme="majorHAnsi" w:cstheme="majorHAnsi"/>
                            <w:color w:val="2E75B6" w:themeColor="accent1" w:themeShade="BF"/>
                          </w:rPr>
                          <w:fldChar w:fldCharType="separate"/>
                        </w:r>
                        <w:r>
                          <w:rPr>
                            <w:rFonts w:asciiTheme="majorHAnsi" w:hAnsiTheme="majorHAnsi" w:cstheme="majorHAnsi"/>
                            <w:color w:val="2E75B6" w:themeColor="accent1" w:themeShade="BF"/>
                          </w:rPr>
                          <w:t>1</w:t>
                        </w:r>
                        <w:r>
                          <w:rPr>
                            <w:rFonts w:asciiTheme="majorHAnsi" w:hAnsiTheme="majorHAnsi" w:cstheme="majorHAnsi"/>
                            <w:color w:val="2E75B6" w:themeColor="accent1" w:themeShade="BF"/>
                          </w:rP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27"/>
        <w:tab w:val="left" w:pos="3100"/>
      </w:tabs>
      <w:rPr>
        <w:rFonts w:asciiTheme="majorHAnsi" w:hAnsiTheme="majorHAnsi" w:cstheme="majorHAnsi"/>
        <w:b/>
      </w:rPr>
    </w:pPr>
    <w:r>
      <w:drawing>
        <wp:anchor distT="0" distB="0" distL="114300" distR="114300" simplePos="0" relativeHeight="251660288" behindDoc="1" locked="0" layoutInCell="1" allowOverlap="1">
          <wp:simplePos x="0" y="0"/>
          <wp:positionH relativeFrom="column">
            <wp:posOffset>89535</wp:posOffset>
          </wp:positionH>
          <wp:positionV relativeFrom="paragraph">
            <wp:posOffset>-208280</wp:posOffset>
          </wp:positionV>
          <wp:extent cx="1631950" cy="396240"/>
          <wp:effectExtent l="0" t="0" r="6985" b="4445"/>
          <wp:wrapTight wrapText="bothSides">
            <wp:wrapPolygon>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754" cy="396000"/>
                  </a:xfrm>
                  <a:prstGeom prst="rect">
                    <a:avLst/>
                  </a:prstGeom>
                </pic:spPr>
              </pic:pic>
            </a:graphicData>
          </a:graphic>
        </wp:anchor>
      </w:drawing>
    </w:r>
    <w:r>
      <w:tab/>
    </w:r>
    <w:r>
      <w:tab/>
    </w:r>
    <w:r>
      <w:tab/>
    </w:r>
    <w:r>
      <w:rPr>
        <w:rFonts w:asciiTheme="majorHAnsi" w:hAnsiTheme="majorHAnsi" w:cstheme="majorHAnsi"/>
        <w:b/>
        <w:color w:val="2E75B6" w:themeColor="accent1" w:themeShade="BF"/>
      </w:rPr>
      <w:t>WP X - Report</w:t>
    </w:r>
  </w:p>
  <w:p>
    <w:pPr>
      <w:pStyle w:val="9"/>
      <w:rPr>
        <w:color w:val="2E75B6" w:themeColor="accent1" w:themeShade="BF"/>
      </w:rPr>
    </w:pPr>
    <w:r>
      <w:rPr>
        <w:color w:val="2E75B6" w:themeColor="accent1" w:themeShade="B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164465</wp:posOffset>
              </wp:positionV>
              <wp:extent cx="5793740" cy="0"/>
              <wp:effectExtent l="0" t="0" r="0" b="19050"/>
              <wp:wrapNone/>
              <wp:docPr id="6" name="Straight Connector 6"/>
              <wp:cNvGraphicFramePr/>
              <a:graphic xmlns:a="http://schemas.openxmlformats.org/drawingml/2006/main">
                <a:graphicData uri="http://schemas.microsoft.com/office/word/2010/wordprocessingShape">
                  <wps:wsp>
                    <wps:cNvCnPr/>
                    <wps:spPr>
                      <a:xfrm>
                        <a:off x="0" y="0"/>
                        <a:ext cx="5793740" cy="0"/>
                      </a:xfrm>
                      <a:prstGeom prst="line">
                        <a:avLst/>
                      </a:prstGeom>
                      <a:ln w="19050">
                        <a:solidFill>
                          <a:srgbClr val="2880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12.95pt;height:0pt;width:456.2pt;z-index:251659264;mso-width-relative:page;mso-height-relative:page;" filled="f" stroked="t" coordsize="21600,21600" o:gfxdata="UEsDBAoAAAAAAIdO4kAAAAAAAAAAAAAAAAAEAAAAZHJzL1BLAwQUAAAACACHTuJAE2ZStNkAAAAI&#10;AQAADwAAAGRycy9kb3ducmV2LnhtbE2PzU7DMBCE70i8g7VI3Fo7hVIS4vSAClKkqlILHLg58RJH&#10;tdchdn94e4w4wHF2RjPflsuzs+yIY+g9ScimAhhS63VPnYTXl6fJPbAQFWllPaGELwywrC4vSlVo&#10;f6ItHnexY6mEQqEkmBiHgvPQGnQqTP2AlLwPPzoVkxw7rkd1SuXO8pkQd9ypntKCUQM+Gmz3u4OT&#10;sFnZ+q1ePZv18F7vP7e3i3XuGimvrzLxACziOf6F4Qc/oUOVmBp/IB2YlTCZZykpYTbPgSU/F4sb&#10;YM3vgVcl//9A9Q1QSwMEFAAAAAgAh07iQJJ6bG3bAQAAtgMAAA4AAABkcnMvZTJvRG9jLnhtbK1T&#10;y27bMBC8F+g/ELzXUtzGcQTLAWIhvRStgbQfQFOURIAv7DKW/fddUorz6CWH6kAtyd1ZznC4uTtZ&#10;w44KUHtX86tFyZly0rfa9TX/8/vhy5ozjMK1wninan5WyO+2nz9txlCppR+8aRUwAnFYjaHmQ4yh&#10;KgqUg7ICFz4oR5udBysiTaEvWhAjoVtTLMtyVYwe2gBeKkRabaZNPiPCRwB912mpGi+frHJxQgVl&#10;RCRKOOiAfJtP23VKxl9dhyoyU3NiGvNITSg+pLHYbkTVgwiDlvMRxEeO8I6TFdpR0wtUI6JgT6D/&#10;gbJagkffxYX0tpiIZEWIxVX5TpvHQQSVuZDUGC6i4/+DlT+Pe2C6rfmKMycsXfhjBKH7IbKdd44E&#10;9MBWSacxYEXpO7eHeYZhD4n0qQOb/kSHnbK254u26hSZpMXrm9uvN99Idvm8V7wUBsD4XXnLUlBz&#10;o12iLSpx/IGRmlHqc0padv5BG5Ovzjg2kotvy+sELciPHfmAQhuIE7qeM2F6MrqMkCHRG92m8gSE&#10;0B92BthRkD2W63V5v0tMqd2btNS7EThMeXjGxsfJOVZHegxG25qvy/TN5cYRShJskihFB9+es3J5&#10;na4z95mtl/zyep6rX57b9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ZlK02QAAAAgBAAAPAAAA&#10;AAAAAAEAIAAAACIAAABkcnMvZG93bnJldi54bWxQSwECFAAUAAAACACHTuJAknpsbdsBAAC2AwAA&#10;DgAAAAAAAAABACAAAAAoAQAAZHJzL2Uyb0RvYy54bWxQSwUGAAAAAAYABgBZAQAAdQUAAAAA&#10;">
              <v:fill on="f" focussize="0,0"/>
              <v:stroke weight="1.5pt" color="#2880BC [3204]" miterlimit="8" joinstyle="miter" dashstyle="1 1"/>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812AA1"/>
    <w:multiLevelType w:val="multilevel"/>
    <w:tmpl w:val="6D812A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434A1"/>
    <w:rsid w:val="00161DA3"/>
    <w:rsid w:val="00174E03"/>
    <w:rsid w:val="00183377"/>
    <w:rsid w:val="00184CE6"/>
    <w:rsid w:val="001A2D8B"/>
    <w:rsid w:val="001A3247"/>
    <w:rsid w:val="001E0145"/>
    <w:rsid w:val="001F229B"/>
    <w:rsid w:val="00200C0F"/>
    <w:rsid w:val="00206672"/>
    <w:rsid w:val="00220CDD"/>
    <w:rsid w:val="0023719E"/>
    <w:rsid w:val="002A3146"/>
    <w:rsid w:val="002E2042"/>
    <w:rsid w:val="002E2A6E"/>
    <w:rsid w:val="0031015D"/>
    <w:rsid w:val="00337626"/>
    <w:rsid w:val="00344C81"/>
    <w:rsid w:val="00352239"/>
    <w:rsid w:val="003623C5"/>
    <w:rsid w:val="00362B80"/>
    <w:rsid w:val="00372229"/>
    <w:rsid w:val="00394B00"/>
    <w:rsid w:val="003D1BC1"/>
    <w:rsid w:val="003D4EC1"/>
    <w:rsid w:val="003E4D46"/>
    <w:rsid w:val="004030AA"/>
    <w:rsid w:val="00421D16"/>
    <w:rsid w:val="00474F70"/>
    <w:rsid w:val="004979BE"/>
    <w:rsid w:val="004B5678"/>
    <w:rsid w:val="004C417D"/>
    <w:rsid w:val="004F5303"/>
    <w:rsid w:val="004F7604"/>
    <w:rsid w:val="00521169"/>
    <w:rsid w:val="00532FDD"/>
    <w:rsid w:val="00545ED0"/>
    <w:rsid w:val="00550FE5"/>
    <w:rsid w:val="005545D9"/>
    <w:rsid w:val="0058262F"/>
    <w:rsid w:val="005B276C"/>
    <w:rsid w:val="005D178B"/>
    <w:rsid w:val="005D41F9"/>
    <w:rsid w:val="005D6F2A"/>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63645"/>
    <w:rsid w:val="00890B6A"/>
    <w:rsid w:val="00895CE6"/>
    <w:rsid w:val="008A0D51"/>
    <w:rsid w:val="008C2542"/>
    <w:rsid w:val="008F3762"/>
    <w:rsid w:val="008F5679"/>
    <w:rsid w:val="008F7753"/>
    <w:rsid w:val="00936EB3"/>
    <w:rsid w:val="00942455"/>
    <w:rsid w:val="009826AD"/>
    <w:rsid w:val="009916C2"/>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06E66"/>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B2C2E"/>
    <w:rsid w:val="00DE1A75"/>
    <w:rsid w:val="00DE3261"/>
    <w:rsid w:val="00DE55A3"/>
    <w:rsid w:val="00DE58CD"/>
    <w:rsid w:val="00DE6E0E"/>
    <w:rsid w:val="00E01228"/>
    <w:rsid w:val="00E029D3"/>
    <w:rsid w:val="00E07595"/>
    <w:rsid w:val="00E13100"/>
    <w:rsid w:val="00E23BA9"/>
    <w:rsid w:val="00E3063E"/>
    <w:rsid w:val="00E53B87"/>
    <w:rsid w:val="00E610A9"/>
    <w:rsid w:val="00E95176"/>
    <w:rsid w:val="00E96342"/>
    <w:rsid w:val="00EA7D87"/>
    <w:rsid w:val="00EB42BF"/>
    <w:rsid w:val="00EB7D4E"/>
    <w:rsid w:val="00EC0AF0"/>
    <w:rsid w:val="00EC79D3"/>
    <w:rsid w:val="00ED4169"/>
    <w:rsid w:val="00EE2E39"/>
    <w:rsid w:val="00EF6A92"/>
    <w:rsid w:val="00F151D5"/>
    <w:rsid w:val="00F4015E"/>
    <w:rsid w:val="00F4653A"/>
    <w:rsid w:val="00F664DF"/>
    <w:rsid w:val="00F700AE"/>
    <w:rsid w:val="00F87AE4"/>
    <w:rsid w:val="00FA453C"/>
    <w:rsid w:val="00FC65B2"/>
    <w:rsid w:val="00FD096E"/>
    <w:rsid w:val="255A6A82"/>
    <w:rsid w:val="449E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2"/>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3"/>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5"/>
    <w:semiHidden/>
    <w:unhideWhenUsed/>
    <w:uiPriority w:val="99"/>
    <w:pPr>
      <w:spacing w:after="0" w:line="240" w:lineRule="auto"/>
    </w:pPr>
    <w:rPr>
      <w:rFonts w:ascii="Segoe UI" w:hAnsi="Segoe UI" w:cs="Segoe UI"/>
      <w:sz w:val="18"/>
      <w:szCs w:val="18"/>
    </w:rPr>
  </w:style>
  <w:style w:type="paragraph" w:styleId="8">
    <w:name w:val="footer"/>
    <w:basedOn w:val="1"/>
    <w:link w:val="19"/>
    <w:unhideWhenUsed/>
    <w:uiPriority w:val="99"/>
    <w:pPr>
      <w:tabs>
        <w:tab w:val="center" w:pos="4680"/>
        <w:tab w:val="right" w:pos="9360"/>
      </w:tabs>
      <w:spacing w:after="0" w:line="240" w:lineRule="auto"/>
    </w:pPr>
  </w:style>
  <w:style w:type="paragraph" w:styleId="9">
    <w:name w:val="header"/>
    <w:basedOn w:val="1"/>
    <w:link w:val="18"/>
    <w:unhideWhenUsed/>
    <w:uiPriority w:val="99"/>
    <w:pPr>
      <w:tabs>
        <w:tab w:val="center" w:pos="4680"/>
        <w:tab w:val="right" w:pos="9360"/>
      </w:tabs>
      <w:spacing w:after="0" w:line="240" w:lineRule="auto"/>
    </w:pPr>
  </w:style>
  <w:style w:type="character" w:styleId="10">
    <w:name w:val="Hyperlink"/>
    <w:uiPriority w:val="99"/>
    <w:rPr>
      <w:color w:val="000080"/>
      <w:u w:val="single"/>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2">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oc 1"/>
    <w:basedOn w:val="1"/>
    <w:next w:val="1"/>
    <w:unhideWhenUsed/>
    <w:qFormat/>
    <w:uiPriority w:val="39"/>
    <w:pPr>
      <w:spacing w:after="100" w:line="276" w:lineRule="auto"/>
    </w:pPr>
    <w:rPr>
      <w:rFonts w:eastAsiaTheme="minorEastAsia"/>
    </w:rPr>
  </w:style>
  <w:style w:type="paragraph" w:styleId="14">
    <w:name w:val="toc 2"/>
    <w:basedOn w:val="1"/>
    <w:next w:val="1"/>
    <w:unhideWhenUsed/>
    <w:qFormat/>
    <w:uiPriority w:val="39"/>
    <w:pPr>
      <w:spacing w:after="100" w:line="276" w:lineRule="auto"/>
      <w:ind w:left="220"/>
    </w:pPr>
    <w:rPr>
      <w:rFonts w:eastAsiaTheme="minorEastAsia"/>
    </w:rPr>
  </w:style>
  <w:style w:type="paragraph" w:styleId="15">
    <w:name w:val="toc 3"/>
    <w:basedOn w:val="1"/>
    <w:next w:val="1"/>
    <w:unhideWhenUsed/>
    <w:qFormat/>
    <w:uiPriority w:val="39"/>
    <w:pPr>
      <w:spacing w:after="100" w:line="276" w:lineRule="auto"/>
      <w:ind w:left="440"/>
    </w:pPr>
    <w:rPr>
      <w:rFonts w:eastAsiaTheme="minorEastAsia"/>
    </w:rPr>
  </w:style>
  <w:style w:type="paragraph" w:styleId="16">
    <w:name w:val="No Spacing"/>
    <w:link w:val="17"/>
    <w:qFormat/>
    <w:uiPriority w:val="1"/>
    <w:rPr>
      <w:rFonts w:asciiTheme="minorHAnsi" w:hAnsiTheme="minorHAnsi" w:eastAsiaTheme="minorEastAsia" w:cstheme="minorBidi"/>
      <w:sz w:val="22"/>
      <w:szCs w:val="22"/>
      <w:lang w:val="en-US" w:eastAsia="en-US" w:bidi="ar-SA"/>
    </w:rPr>
  </w:style>
  <w:style w:type="character" w:customStyle="1" w:styleId="17">
    <w:name w:val="No Spacing Char"/>
    <w:basedOn w:val="5"/>
    <w:link w:val="16"/>
    <w:uiPriority w:val="1"/>
    <w:rPr>
      <w:rFonts w:eastAsiaTheme="minorEastAsia"/>
    </w:rPr>
  </w:style>
  <w:style w:type="character" w:customStyle="1" w:styleId="18">
    <w:name w:val="Header Char"/>
    <w:basedOn w:val="5"/>
    <w:link w:val="9"/>
    <w:uiPriority w:val="99"/>
  </w:style>
  <w:style w:type="character" w:customStyle="1" w:styleId="19">
    <w:name w:val="Footer Char"/>
    <w:basedOn w:val="5"/>
    <w:link w:val="8"/>
    <w:uiPriority w:val="99"/>
  </w:style>
  <w:style w:type="character" w:customStyle="1" w:styleId="20">
    <w:name w:val="Heading 1 Char"/>
    <w:basedOn w:val="5"/>
    <w:link w:val="2"/>
    <w:uiPriority w:val="9"/>
    <w:rPr>
      <w:rFonts w:asciiTheme="majorHAnsi" w:hAnsiTheme="majorHAnsi" w:eastAsiaTheme="majorEastAsia" w:cstheme="majorBidi"/>
      <w:color w:val="2E75B6" w:themeColor="accent1" w:themeShade="BF"/>
      <w:sz w:val="32"/>
      <w:szCs w:val="32"/>
    </w:rPr>
  </w:style>
  <w:style w:type="paragraph" w:styleId="21">
    <w:name w:val="List Paragraph"/>
    <w:basedOn w:val="1"/>
    <w:qFormat/>
    <w:uiPriority w:val="34"/>
    <w:pPr>
      <w:ind w:left="720"/>
      <w:contextualSpacing/>
    </w:pPr>
  </w:style>
  <w:style w:type="character" w:customStyle="1" w:styleId="22">
    <w:name w:val="Heading 2 Char"/>
    <w:basedOn w:val="5"/>
    <w:link w:val="3"/>
    <w:uiPriority w:val="9"/>
    <w:rPr>
      <w:rFonts w:asciiTheme="majorHAnsi" w:hAnsiTheme="majorHAnsi" w:eastAsiaTheme="majorEastAsia" w:cstheme="majorBidi"/>
      <w:color w:val="2E75B6" w:themeColor="accent1" w:themeShade="BF"/>
      <w:sz w:val="26"/>
      <w:szCs w:val="26"/>
    </w:rPr>
  </w:style>
  <w:style w:type="character" w:customStyle="1" w:styleId="23">
    <w:name w:val="Heading 3 Char"/>
    <w:basedOn w:val="5"/>
    <w:link w:val="4"/>
    <w:uiPriority w:val="9"/>
    <w:rPr>
      <w:rFonts w:asciiTheme="majorHAnsi" w:hAnsiTheme="majorHAnsi" w:eastAsiaTheme="majorEastAsia" w:cstheme="majorBidi"/>
      <w:color w:val="1F4E79" w:themeColor="accent1" w:themeShade="80"/>
      <w:sz w:val="24"/>
      <w:szCs w:val="24"/>
    </w:rPr>
  </w:style>
  <w:style w:type="table" w:customStyle="1" w:styleId="24">
    <w:name w:val="Grid Table 2 - Accent 51"/>
    <w:basedOn w:val="6"/>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25">
    <w:name w:val="Balloon Text Char"/>
    <w:basedOn w:val="5"/>
    <w:link w:val="7"/>
    <w:semiHidden/>
    <w:uiPriority w:val="99"/>
    <w:rPr>
      <w:rFonts w:ascii="Segoe UI" w:hAnsi="Segoe UI" w:cs="Segoe UI"/>
      <w:sz w:val="18"/>
      <w:szCs w:val="18"/>
    </w:rPr>
  </w:style>
  <w:style w:type="paragraph" w:customStyle="1" w:styleId="26">
    <w:name w:val="TOC Heading1"/>
    <w:basedOn w:val="2"/>
    <w:next w:val="1"/>
    <w:unhideWhenUsed/>
    <w:qFormat/>
    <w:uiPriority w:val="39"/>
    <w:pPr>
      <w:spacing w:before="480" w:line="276" w:lineRule="auto"/>
      <w:outlineLvl w:val="9"/>
    </w:pPr>
    <w:rPr>
      <w:b/>
      <w:bCs/>
      <w:sz w:val="28"/>
      <w:szCs w:val="28"/>
    </w:rPr>
  </w:style>
  <w:style w:type="character" w:customStyle="1" w:styleId="27">
    <w:name w:val="hps"/>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312</Words>
  <Characters>1779</Characters>
  <Lines>14</Lines>
  <Paragraphs>4</Paragraphs>
  <TotalTime>33</TotalTime>
  <ScaleCrop>false</ScaleCrop>
  <LinksUpToDate>false</LinksUpToDate>
  <CharactersWithSpaces>2087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2023-01-18T07:39:00Z</dcterms:created>
  <dc:creator>Strengthening of master curricula in water resources management for the Western Balkans HEIs and stakeholders</dc:creator>
  <cp:lastModifiedBy>Korisnik</cp:lastModifiedBy>
  <cp:lastPrinted>2018-11-09T00:36:00Z</cp:lastPrinted>
  <dcterms:modified xsi:type="dcterms:W3CDTF">2023-01-21T17:13:03Z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3BFD9C89DF204DD78AD737DDB6257750</vt:lpwstr>
  </property>
</Properties>
</file>